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753D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40005</wp:posOffset>
            </wp:positionV>
            <wp:extent cx="6315710" cy="8423275"/>
            <wp:effectExtent l="0" t="0" r="8890" b="15875"/>
            <wp:wrapTopAndBottom/>
            <wp:docPr id="2" name="图片 2" descr="微信图片_2026-06-01_161851_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-06-01_161851_4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15710" cy="842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F4529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6690" cy="1040130"/>
            <wp:effectExtent l="0" t="0" r="1016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FC3F5C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2705792">
      <w:pPr>
        <w:pStyle w:val="2"/>
        <w:keepNext w:val="0"/>
        <w:keepLines w:val="0"/>
        <w:widowControl/>
        <w:suppressLineNumbers w:val="0"/>
        <w:jc w:val="left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相关会员高校、各省级高等教育学会、课题申请人：</w:t>
      </w:r>
    </w:p>
    <w:p w14:paraId="1C16B0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为深入贯彻落实《教育强国建设规划纲要（2024—2035年）》和三年行动计划，不断推进有组织科研，以高质量学术研究服务教育强国建设，中国高等教育学会（以下简称学会）启动“2026年度高等教育科学研究规划课题”（以下简称规划课题）申报工作，现将有关事项通知如下。</w:t>
      </w:r>
    </w:p>
    <w:p w14:paraId="7C0E1D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一、课题类型</w:t>
      </w:r>
    </w:p>
    <w:p w14:paraId="087708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本年度规划课题分为服务教育强国建设研究课题、战线联合研究课题两大类，每一类下设若干研究领域。</w:t>
      </w:r>
    </w:p>
    <w:p w14:paraId="33F10C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二、申请人条件</w:t>
      </w:r>
    </w:p>
    <w:p w14:paraId="4DD4A5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1. 申请人所在单位须为中国高等教育学会单位会员，或本人为学会个人会员。其中，战线联合研究课题中“学会与省级高教学会联合研究课题”申请人须为省级高等教育学会理事会成员。</w:t>
      </w:r>
    </w:p>
    <w:p w14:paraId="52F9F8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2. 重大课题申请人须具有高级专业技术职称，重点课题和一般课题申请人须具有中级以上（含）职称或博士学位。不具备相应职称或博士学位的，需由两名具有高级职称的专家进行书面推荐。</w:t>
      </w:r>
    </w:p>
    <w:p w14:paraId="368143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3. 申请人没有在研的学会规划课题。</w:t>
      </w:r>
    </w:p>
    <w:p w14:paraId="6ECF29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4. 申请人所在单位须设有专门负责科研管理工作的职能部门，能够为课题研究工作提供必要条件，并配合学会对课题研究进行全过程管理。</w:t>
      </w:r>
    </w:p>
    <w:p w14:paraId="2C71B9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三、申报方式</w:t>
      </w:r>
    </w:p>
    <w:p w14:paraId="130976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jc w:val="left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课题申请人登录“科学研究管理平台”（http://122.224.218.37:6231/srm-web/systemrole/login_toLogin.html），按要求注册用户，在线填报并上传经个人签字和所在单位审核盖章的申报材料。申报战线联合研究课题中“学会与省级高教学会联合研究课题”的，还需上传经省级高等教育学会盖章的同意推荐页。</w:t>
      </w:r>
    </w:p>
    <w:p w14:paraId="0D9619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四、申报要求</w:t>
      </w:r>
      <w:bookmarkStart w:id="0" w:name="_GoBack"/>
      <w:bookmarkEnd w:id="0"/>
    </w:p>
    <w:p w14:paraId="7047514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1. 申报工作自本通知发布之日起至2026年7月15日结束，逾期将不予受理。课题申报不收取任何费用。</w:t>
      </w:r>
    </w:p>
    <w:p w14:paraId="06048A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2. 每位申请人限申报一项课题。作为课题组成员参与课题的，最多不能超过两项。</w:t>
      </w:r>
    </w:p>
    <w:p w14:paraId="20B584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3. 申请人须如实、准确填写申报材料。凡存在弄虚作假、抄袭剽窃、重复申报等行为的，一经查实将取消申报资格；已获立项的将作撤项处理，并列入不良科研信用记录。</w:t>
      </w:r>
    </w:p>
    <w:p w14:paraId="5907BE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4. 获准立项的《课题申报书》视为具有约束力的合同文本。申请人应履行约定义务，按期完成研究任务。</w:t>
      </w:r>
    </w:p>
    <w:p w14:paraId="04FA79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5. 课题研究成果在公开发表、出版或内部呈送时，应在显著位置注明“中国高等教育学会2026年度高等教育科学研究规划课题”字样（含课题名称和编号）。</w:t>
      </w:r>
    </w:p>
    <w:p w14:paraId="147866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五、完成时限及成果要求</w:t>
      </w:r>
    </w:p>
    <w:p w14:paraId="6DE31E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服务教育强国建设研究课题研究期限一般为6—12个月，战线联合研究课题研究期限一般为两年。结题验收采取承诺制，申请人申报时承诺的预期研究成果（包括但不限于研究报告、资政专报、调研报告、学术论文或专著）是结题时必须达到的要件。其中，服务教育强国建设研究课题成果必须包含研究报告或资政专报。</w:t>
      </w:r>
    </w:p>
    <w:p w14:paraId="7BC02F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六、经费额度</w:t>
      </w:r>
    </w:p>
    <w:p w14:paraId="46F1172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课题资助经费额度详见课题指南。</w:t>
      </w:r>
    </w:p>
    <w:p w14:paraId="74D5B6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七、联系人及方式</w:t>
      </w:r>
    </w:p>
    <w:p w14:paraId="66E6EC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1. 各类课题联系方式详见附件1《课题指南》。</w:t>
      </w:r>
    </w:p>
    <w:p w14:paraId="53B4EA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2. 未尽事宜请咨询中国高等教育学会秘书处</w:t>
      </w:r>
    </w:p>
    <w:p w14:paraId="70D4383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联系人及联系方式：</w:t>
      </w:r>
    </w:p>
    <w:p w14:paraId="65D045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朱志伟 010-82289739</w:t>
      </w:r>
    </w:p>
    <w:p w14:paraId="443324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洪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佳 010-82289799</w:t>
      </w:r>
    </w:p>
    <w:p w14:paraId="010DC6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3. 系统填报问题请联系科研管理平台技术支持方</w:t>
      </w:r>
    </w:p>
    <w:p w14:paraId="48A88E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联系电话：0571-87352950</w:t>
      </w:r>
    </w:p>
    <w:p w14:paraId="3AF7C7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QQ：4001028686（导航栏“科研人事客服”）</w:t>
      </w:r>
    </w:p>
    <w:p w14:paraId="4C8FBB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40D76C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</w:t>
      </w:r>
    </w:p>
    <w:p w14:paraId="054918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1. 2026年度高等教育科学研究规划课题指南</w:t>
      </w:r>
    </w:p>
    <w:p w14:paraId="1E3FCA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2. 科学研究管理平台操作手册（课题申请人）</w:t>
      </w:r>
    </w:p>
    <w:p w14:paraId="6DA675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591ED6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jc w:val="right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中国高等教育学会</w:t>
      </w:r>
    </w:p>
    <w:p w14:paraId="3BF3D9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5"/>
        <w:jc w:val="right"/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Times New Roman" w:eastAsia="仿宋_GB2312" w:cs="仿宋_GB2312"/>
          <w:i w:val="0"/>
          <w:iCs w:val="0"/>
          <w:caps w:val="0"/>
          <w:color w:val="303133"/>
          <w:spacing w:val="0"/>
          <w:kern w:val="0"/>
          <w:sz w:val="32"/>
          <w:szCs w:val="32"/>
          <w:shd w:val="clear" w:fill="FFFFFF"/>
          <w:lang w:val="en-US" w:eastAsia="zh-CN" w:bidi="ar"/>
        </w:rPr>
        <w:t>2026年5月28日</w:t>
      </w:r>
    </w:p>
    <w:p w14:paraId="226BAB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93AD3"/>
    <w:rsid w:val="2D765AA6"/>
    <w:rsid w:val="719A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1165</Words>
  <Characters>1315</Characters>
  <Lines>0</Lines>
  <Paragraphs>0</Paragraphs>
  <TotalTime>25</TotalTime>
  <ScaleCrop>false</ScaleCrop>
  <LinksUpToDate>false</LinksUpToDate>
  <CharactersWithSpaces>1333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2026-06-01T07:50:00Z</dcterms:created>
  <dc:creator>Administrator</dc:creator>
  <cp:lastModifiedBy>Vicky</cp:lastModifiedBy>
  <dcterms:modified xsi:type="dcterms:W3CDTF">2026-06-01T09:06:55Z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eyJoZGlkIjoiNjQzMDcwZWRlNjQ3MjUyMGE2NTRhZTg4YjQ5NjJiNTciLCJ1c2VySWQiOiIyMzkyMTEyNjAifQ==</vt:lpwstr>
  </property>
  <property fmtid="{D5CDD505-2E9C-101B-9397-08002B2CF9AE}" pid="4" name="ICV">
    <vt:lpwstr>DAAD3DBA8F294153822DFB5F9516072F_12</vt:lpwstr>
  </property>
</Properties>
</file>